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E" w:rsidRDefault="004D052E" w:rsidP="002E0DD3">
      <w:pPr>
        <w:autoSpaceDE w:val="0"/>
        <w:autoSpaceDN w:val="0"/>
        <w:adjustRightInd w:val="0"/>
        <w:spacing w:before="100" w:after="100" w:line="276" w:lineRule="auto"/>
        <w:rPr>
          <w:b/>
        </w:rPr>
      </w:pPr>
    </w:p>
    <w:p w:rsidR="003E00DE" w:rsidRDefault="003E00DE" w:rsidP="002E0DD3">
      <w:pPr>
        <w:autoSpaceDE w:val="0"/>
        <w:autoSpaceDN w:val="0"/>
        <w:adjustRightInd w:val="0"/>
        <w:spacing w:before="100" w:after="100" w:line="276" w:lineRule="auto"/>
        <w:rPr>
          <w:b/>
        </w:rPr>
      </w:pPr>
    </w:p>
    <w:p w:rsidR="004D052E" w:rsidRPr="00F65FD4" w:rsidRDefault="009620A8" w:rsidP="004D052E">
      <w:pPr>
        <w:jc w:val="center"/>
        <w:rPr>
          <w:b/>
          <w:color w:val="000000" w:themeColor="text1"/>
        </w:rPr>
      </w:pPr>
      <w:r w:rsidRPr="00F65FD4">
        <w:rPr>
          <w:b/>
          <w:color w:val="000000" w:themeColor="text1"/>
        </w:rPr>
        <w:t xml:space="preserve">AZERBAYCAN CUMHURİYETİ MENŞELİ BAZI ÜRÜNLERİN İTHALATINDA TARİFE KONTENJANI </w:t>
      </w:r>
    </w:p>
    <w:p w:rsidR="005059E2" w:rsidRDefault="009620A8" w:rsidP="00FA0094">
      <w:pPr>
        <w:jc w:val="center"/>
        <w:rPr>
          <w:b/>
          <w:color w:val="000000" w:themeColor="text1"/>
        </w:rPr>
      </w:pPr>
      <w:r w:rsidRPr="00F65FD4">
        <w:rPr>
          <w:b/>
          <w:color w:val="000000" w:themeColor="text1"/>
        </w:rPr>
        <w:t>UYGULANMASI HAKKINDA KARAR</w:t>
      </w:r>
    </w:p>
    <w:p w:rsidR="00FA0094" w:rsidRPr="00FA0094" w:rsidRDefault="00FA0094" w:rsidP="00FA0094">
      <w:pPr>
        <w:jc w:val="center"/>
        <w:rPr>
          <w:rStyle w:val="Gl"/>
          <w:bCs w:val="0"/>
          <w:color w:val="000000" w:themeColor="text1"/>
        </w:rPr>
      </w:pPr>
    </w:p>
    <w:p w:rsidR="00A76E85" w:rsidRPr="00811127" w:rsidRDefault="00A76E85" w:rsidP="002B7B0F">
      <w:pPr>
        <w:pStyle w:val="AralkYok"/>
        <w:ind w:left="142"/>
        <w:rPr>
          <w:b/>
          <w:i/>
        </w:rPr>
      </w:pPr>
      <w:r w:rsidRPr="00811127">
        <w:rPr>
          <w:rStyle w:val="Gl"/>
          <w:i/>
        </w:rPr>
        <w:t>02/3/2021</w:t>
      </w:r>
      <w:r w:rsidRPr="00811127">
        <w:rPr>
          <w:b/>
          <w:i/>
        </w:rPr>
        <w:t xml:space="preserve"> tarihli ve </w:t>
      </w:r>
      <w:r w:rsidRPr="00811127">
        <w:rPr>
          <w:rStyle w:val="Gl"/>
          <w:i/>
        </w:rPr>
        <w:t>31411</w:t>
      </w:r>
      <w:r w:rsidRPr="00811127">
        <w:rPr>
          <w:b/>
          <w:i/>
        </w:rPr>
        <w:t xml:space="preserve"> sayılı Resmi Gazete</w:t>
      </w:r>
    </w:p>
    <w:p w:rsidR="00A6327D" w:rsidRPr="00FA0094" w:rsidRDefault="00A76E85" w:rsidP="00FA0094">
      <w:pPr>
        <w:pStyle w:val="AralkYok"/>
        <w:ind w:left="142"/>
        <w:rPr>
          <w:b/>
          <w:i/>
        </w:rPr>
      </w:pPr>
      <w:r w:rsidRPr="006A52B3">
        <w:rPr>
          <w:b/>
          <w:i/>
        </w:rPr>
        <w:t>01/3/2021 tarihli ve 3583 sayılı Cumhurbaşkanı Kararı</w:t>
      </w:r>
      <w:r w:rsidRPr="006A52B3">
        <w:rPr>
          <w:b/>
          <w:i/>
        </w:rPr>
        <w:br/>
      </w:r>
    </w:p>
    <w:p w:rsidR="00A6327D" w:rsidRPr="00EF24C4" w:rsidRDefault="00A6327D" w:rsidP="004450E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EF24C4">
        <w:rPr>
          <w:b/>
        </w:rPr>
        <w:t>Amaç ve kapsam</w:t>
      </w:r>
    </w:p>
    <w:p w:rsidR="00657750" w:rsidRPr="00EF24C4" w:rsidRDefault="0021011F" w:rsidP="004450E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F24C4">
        <w:rPr>
          <w:b/>
          <w:bCs/>
        </w:rPr>
        <w:t>MADDE 1-</w:t>
      </w:r>
      <w:r w:rsidR="00D00FF5">
        <w:rPr>
          <w:b/>
          <w:bCs/>
        </w:rPr>
        <w:t xml:space="preserve"> </w:t>
      </w:r>
      <w:r w:rsidR="006E3DC9" w:rsidRPr="00F50C22">
        <w:rPr>
          <w:b/>
        </w:rPr>
        <w:t>(</w:t>
      </w:r>
      <w:hyperlink r:id="rId7" w:history="1">
        <w:r w:rsidR="006E3DC9" w:rsidRPr="006E3DC9">
          <w:rPr>
            <w:rStyle w:val="Kpr"/>
            <w:b/>
            <w:color w:val="auto"/>
            <w:u w:val="none"/>
          </w:rPr>
          <w:t>Değişik:RG-30/06/2024-32588</w:t>
        </w:r>
      </w:hyperlink>
      <w:r w:rsidR="006E3DC9" w:rsidRPr="00F50C22">
        <w:rPr>
          <w:b/>
        </w:rPr>
        <w:t>)</w:t>
      </w:r>
      <w:r w:rsidR="00A6327D" w:rsidRPr="00EF24C4">
        <w:t xml:space="preserve"> (1) </w:t>
      </w:r>
      <w:r w:rsidR="00A6327D" w:rsidRPr="00FE2D7D">
        <w:t>Bu Kararın amacı</w:t>
      </w:r>
      <w:r w:rsidR="00F139AE">
        <w:t>,</w:t>
      </w:r>
      <w:r w:rsidR="00307A90">
        <w:t xml:space="preserve"> </w:t>
      </w:r>
      <w:r w:rsidR="00EC05CE">
        <w:t>18/</w:t>
      </w:r>
      <w:r w:rsidR="00A120F8">
        <w:t>1</w:t>
      </w:r>
      <w:r w:rsidR="007A7E62">
        <w:t>/2021 tarihli ve 3429</w:t>
      </w:r>
      <w:r w:rsidR="00F671DB" w:rsidRPr="00F671DB">
        <w:t xml:space="preserve"> </w:t>
      </w:r>
      <w:r w:rsidR="00F671DB" w:rsidRPr="0077304B">
        <w:t>sayılı Cumhurbaşkan</w:t>
      </w:r>
      <w:r w:rsidR="00C420C8">
        <w:t xml:space="preserve">ı </w:t>
      </w:r>
      <w:r w:rsidR="00F671DB" w:rsidRPr="0077304B">
        <w:t>Karar</w:t>
      </w:r>
      <w:r w:rsidR="00C420C8">
        <w:t>ı</w:t>
      </w:r>
      <w:r w:rsidR="00D00FF5">
        <w:t>yla</w:t>
      </w:r>
      <w:r w:rsidR="00F671DB" w:rsidRPr="0077304B">
        <w:t xml:space="preserve"> </w:t>
      </w:r>
      <w:r w:rsidR="00F139AE">
        <w:t xml:space="preserve">onaylanan </w:t>
      </w:r>
      <w:r w:rsidR="008F3005" w:rsidRPr="0077304B">
        <w:t xml:space="preserve">Türkiye Cumhuriyeti </w:t>
      </w:r>
      <w:r w:rsidR="00A86539">
        <w:t xml:space="preserve">Hükümeti </w:t>
      </w:r>
      <w:r w:rsidR="008F3005" w:rsidRPr="0077304B">
        <w:t xml:space="preserve">ile </w:t>
      </w:r>
      <w:r w:rsidR="00A120F8">
        <w:t>Azerbaycan</w:t>
      </w:r>
      <w:r w:rsidR="008F3005" w:rsidRPr="0077304B">
        <w:t xml:space="preserve"> Cumhuriyeti </w:t>
      </w:r>
      <w:r w:rsidR="00A86539">
        <w:t xml:space="preserve">Hükümeti </w:t>
      </w:r>
      <w:r w:rsidR="008F3005" w:rsidRPr="0077304B">
        <w:t xml:space="preserve">Arasında </w:t>
      </w:r>
      <w:r w:rsidR="00A120F8">
        <w:t xml:space="preserve">Tercihli Ticaret </w:t>
      </w:r>
      <w:r w:rsidR="008F3005" w:rsidRPr="0077304B">
        <w:t>Anlaşması</w:t>
      </w:r>
      <w:r w:rsidR="00D00FF5">
        <w:t xml:space="preserve"> ile 24/5/2024 tarihli ve 8512 sayılı</w:t>
      </w:r>
      <w:r w:rsidR="00814136" w:rsidRPr="00814136">
        <w:t xml:space="preserve"> </w:t>
      </w:r>
      <w:r w:rsidR="00D00FF5" w:rsidRPr="0077304B">
        <w:t>Cumhurbaşkan</w:t>
      </w:r>
      <w:r w:rsidR="00D00FF5">
        <w:t xml:space="preserve">ı </w:t>
      </w:r>
      <w:r w:rsidR="00D00FF5" w:rsidRPr="0077304B">
        <w:t>Karar</w:t>
      </w:r>
      <w:r w:rsidR="00D00FF5">
        <w:t xml:space="preserve">ıyla onaylanan </w:t>
      </w:r>
      <w:r w:rsidR="00D00FF5" w:rsidRPr="0077304B">
        <w:t xml:space="preserve">Türkiye Cumhuriyeti </w:t>
      </w:r>
      <w:r w:rsidR="00D00FF5">
        <w:t xml:space="preserve">Hükümeti </w:t>
      </w:r>
      <w:r w:rsidR="00D00FF5" w:rsidRPr="0077304B">
        <w:t xml:space="preserve">ile </w:t>
      </w:r>
      <w:r w:rsidR="00D00FF5">
        <w:t>Azerbaycan</w:t>
      </w:r>
      <w:r w:rsidR="00D00FF5" w:rsidRPr="0077304B">
        <w:t xml:space="preserve"> Cumhuriyeti </w:t>
      </w:r>
      <w:r w:rsidR="00D00FF5">
        <w:t xml:space="preserve">Hükümeti </w:t>
      </w:r>
      <w:r w:rsidR="00D00FF5" w:rsidRPr="0077304B">
        <w:t>Arasında</w:t>
      </w:r>
      <w:r w:rsidR="00D00FF5">
        <w:t xml:space="preserve"> ‘Tercihli Ticaret Anlaşması’nı Tadil Eden Protokol uyarınca Azerbaycan </w:t>
      </w:r>
      <w:r w:rsidR="00814136" w:rsidRPr="00814136">
        <w:t xml:space="preserve">Cumhuriyeti </w:t>
      </w:r>
      <w:r w:rsidR="00FE2D7D" w:rsidRPr="00814136">
        <w:t xml:space="preserve">menşeli bazı </w:t>
      </w:r>
      <w:r w:rsidR="00A6327D" w:rsidRPr="00814136">
        <w:t>ürünleri</w:t>
      </w:r>
      <w:r w:rsidR="00356F05">
        <w:t>n</w:t>
      </w:r>
      <w:r w:rsidR="00A6327D" w:rsidRPr="00814136">
        <w:t xml:space="preserve"> ithalatında uygulanacak tarife kontenjanlarının düzenlenmesidir.</w:t>
      </w:r>
    </w:p>
    <w:p w:rsidR="00A7293C" w:rsidRPr="004450E4" w:rsidRDefault="00A7293C" w:rsidP="004450E4">
      <w:pPr>
        <w:pStyle w:val="NormalWeb"/>
        <w:spacing w:before="12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</w:rPr>
      </w:pPr>
    </w:p>
    <w:p w:rsidR="006602C6" w:rsidRPr="00EF24C4" w:rsidRDefault="006602C6" w:rsidP="004450E4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24C4">
        <w:rPr>
          <w:rFonts w:ascii="Times New Roman" w:hAnsi="Times New Roman" w:cs="Times New Roman"/>
          <w:b/>
          <w:bCs/>
        </w:rPr>
        <w:t>Tarife kontenjanları</w:t>
      </w:r>
      <w:r w:rsidRPr="00EF24C4">
        <w:rPr>
          <w:rFonts w:ascii="Times New Roman" w:hAnsi="Times New Roman" w:cs="Times New Roman"/>
          <w:b/>
          <w:bCs/>
        </w:rPr>
        <w:tab/>
      </w:r>
      <w:r w:rsidRPr="00EF24C4">
        <w:rPr>
          <w:rFonts w:ascii="Times New Roman" w:hAnsi="Times New Roman" w:cs="Times New Roman"/>
          <w:b/>
          <w:bCs/>
        </w:rPr>
        <w:tab/>
      </w:r>
      <w:r w:rsidRPr="00EF24C4">
        <w:rPr>
          <w:rFonts w:ascii="Times New Roman" w:hAnsi="Times New Roman" w:cs="Times New Roman"/>
          <w:b/>
          <w:bCs/>
        </w:rPr>
        <w:tab/>
      </w:r>
      <w:r w:rsidRPr="00EF24C4">
        <w:rPr>
          <w:rFonts w:ascii="Times New Roman" w:hAnsi="Times New Roman" w:cs="Times New Roman"/>
          <w:b/>
          <w:bCs/>
        </w:rPr>
        <w:tab/>
      </w:r>
      <w:r w:rsidRPr="00EF24C4">
        <w:rPr>
          <w:rFonts w:ascii="Times New Roman" w:hAnsi="Times New Roman" w:cs="Times New Roman"/>
          <w:b/>
          <w:bCs/>
        </w:rPr>
        <w:tab/>
      </w:r>
      <w:r w:rsidRPr="00EF24C4">
        <w:rPr>
          <w:rFonts w:ascii="Times New Roman" w:hAnsi="Times New Roman" w:cs="Times New Roman"/>
          <w:b/>
          <w:bCs/>
        </w:rPr>
        <w:tab/>
      </w:r>
      <w:r w:rsidRPr="00EF24C4">
        <w:rPr>
          <w:rFonts w:ascii="Times New Roman" w:hAnsi="Times New Roman" w:cs="Times New Roman"/>
          <w:b/>
          <w:bCs/>
        </w:rPr>
        <w:tab/>
      </w:r>
    </w:p>
    <w:p w:rsidR="006602C6" w:rsidRDefault="006602C6" w:rsidP="004450E4">
      <w:pPr>
        <w:pStyle w:val="NormalWeb"/>
        <w:spacing w:before="0" w:beforeAutospacing="0" w:after="120" w:afterAutospacing="0" w:line="276" w:lineRule="auto"/>
        <w:ind w:firstLine="708"/>
        <w:jc w:val="both"/>
        <w:rPr>
          <w:rFonts w:ascii="Times New Roman" w:hAnsi="Times New Roman" w:cs="Times New Roman"/>
        </w:rPr>
      </w:pPr>
      <w:r w:rsidRPr="00EF24C4">
        <w:rPr>
          <w:rFonts w:ascii="Times New Roman" w:hAnsi="Times New Roman" w:cs="Times New Roman"/>
          <w:b/>
        </w:rPr>
        <w:t>MADDE 2-</w:t>
      </w:r>
      <w:r w:rsidR="0021011F" w:rsidRPr="00EF24C4">
        <w:rPr>
          <w:rFonts w:ascii="Times New Roman" w:hAnsi="Times New Roman" w:cs="Times New Roman"/>
        </w:rPr>
        <w:t xml:space="preserve"> </w:t>
      </w:r>
      <w:r w:rsidR="00D94723" w:rsidRPr="00D94723">
        <w:rPr>
          <w:rStyle w:val="Kpr"/>
          <w:rFonts w:ascii="Times New Roman" w:eastAsia="Times New Roman" w:hAnsi="Times New Roman" w:cs="Times New Roman"/>
          <w:color w:val="auto"/>
          <w:u w:val="none"/>
        </w:rPr>
        <w:t>(</w:t>
      </w:r>
      <w:hyperlink r:id="rId8" w:history="1">
        <w:proofErr w:type="gramStart"/>
        <w:r w:rsidR="00D94723" w:rsidRPr="00D94723">
          <w:rPr>
            <w:rStyle w:val="Kpr"/>
            <w:rFonts w:ascii="Times New Roman" w:eastAsia="Times New Roman" w:hAnsi="Times New Roman" w:cs="Times New Roman"/>
            <w:b/>
            <w:color w:val="auto"/>
            <w:u w:val="none"/>
          </w:rPr>
          <w:t>Değişik:RG</w:t>
        </w:r>
        <w:proofErr w:type="gramEnd"/>
        <w:r w:rsidR="00D94723" w:rsidRPr="00D94723">
          <w:rPr>
            <w:rStyle w:val="Kpr"/>
            <w:rFonts w:ascii="Times New Roman" w:eastAsia="Times New Roman" w:hAnsi="Times New Roman" w:cs="Times New Roman"/>
            <w:b/>
            <w:color w:val="auto"/>
            <w:u w:val="none"/>
          </w:rPr>
          <w:t>-30/06/2024-32588</w:t>
        </w:r>
      </w:hyperlink>
      <w:r w:rsidR="00D94723" w:rsidRPr="00D94723">
        <w:rPr>
          <w:rStyle w:val="Kpr"/>
          <w:rFonts w:ascii="Times New Roman" w:eastAsia="Times New Roman" w:hAnsi="Times New Roman" w:cs="Times New Roman"/>
          <w:color w:val="auto"/>
          <w:u w:val="none"/>
        </w:rPr>
        <w:t>)</w:t>
      </w:r>
      <w:r w:rsidR="00D94723" w:rsidRPr="00EF24C4">
        <w:rPr>
          <w:rFonts w:ascii="Times New Roman" w:hAnsi="Times New Roman" w:cs="Times New Roman"/>
        </w:rPr>
        <w:t xml:space="preserve"> </w:t>
      </w:r>
      <w:r w:rsidRPr="00EF24C4">
        <w:rPr>
          <w:rFonts w:ascii="Times New Roman" w:hAnsi="Times New Roman" w:cs="Times New Roman"/>
        </w:rPr>
        <w:t>(1)</w:t>
      </w:r>
      <w:r w:rsidR="00EC05CE">
        <w:rPr>
          <w:rFonts w:ascii="Times New Roman" w:eastAsia="Times New Roman" w:hAnsi="Times New Roman" w:cs="Times New Roman"/>
        </w:rPr>
        <w:t xml:space="preserve"> 14/</w:t>
      </w:r>
      <w:r w:rsidR="008F3005" w:rsidRPr="008F3005">
        <w:rPr>
          <w:rFonts w:ascii="Times New Roman" w:eastAsia="Times New Roman" w:hAnsi="Times New Roman" w:cs="Times New Roman"/>
        </w:rPr>
        <w:t>4/2010 tarihli ve 2010/339 sayılı Bakanlar Kurulu Kararı ile</w:t>
      </w:r>
      <w:r w:rsidRPr="00307A90">
        <w:rPr>
          <w:rFonts w:ascii="Times New Roman" w:hAnsi="Times New Roman" w:cs="Times New Roman"/>
          <w:color w:val="FF0000"/>
        </w:rPr>
        <w:t xml:space="preserve"> </w:t>
      </w:r>
      <w:r w:rsidRPr="008F3005">
        <w:rPr>
          <w:rFonts w:ascii="Times New Roman" w:hAnsi="Times New Roman" w:cs="Times New Roman"/>
        </w:rPr>
        <w:t xml:space="preserve">yürürlüğe konulan </w:t>
      </w:r>
      <w:r w:rsidRPr="00307A90">
        <w:rPr>
          <w:rFonts w:ascii="Times New Roman" w:hAnsi="Times New Roman" w:cs="Times New Roman"/>
        </w:rPr>
        <w:t>İthalatta Kota ve Tarife Ko</w:t>
      </w:r>
      <w:r w:rsidR="00F139AE">
        <w:rPr>
          <w:rFonts w:ascii="Times New Roman" w:hAnsi="Times New Roman" w:cs="Times New Roman"/>
        </w:rPr>
        <w:t>ntenjanı İdaresi Hakkında Karar</w:t>
      </w:r>
      <w:r w:rsidRPr="00307A90">
        <w:rPr>
          <w:rFonts w:ascii="Times New Roman" w:hAnsi="Times New Roman" w:cs="Times New Roman"/>
        </w:rPr>
        <w:t xml:space="preserve"> </w:t>
      </w:r>
      <w:r w:rsidRPr="00EF24C4">
        <w:rPr>
          <w:rFonts w:ascii="Times New Roman" w:hAnsi="Times New Roman" w:cs="Times New Roman"/>
        </w:rPr>
        <w:t>çerçevesinde, aşağıda</w:t>
      </w:r>
      <w:r w:rsidR="00BE117E">
        <w:rPr>
          <w:rFonts w:ascii="Times New Roman" w:hAnsi="Times New Roman" w:cs="Times New Roman"/>
        </w:rPr>
        <w:t>ki tabloda</w:t>
      </w:r>
      <w:r w:rsidR="00F139AE">
        <w:rPr>
          <w:rFonts w:ascii="Times New Roman" w:hAnsi="Times New Roman" w:cs="Times New Roman"/>
        </w:rPr>
        <w:t xml:space="preserve"> gümrük t</w:t>
      </w:r>
      <w:r w:rsidRPr="00EF24C4">
        <w:rPr>
          <w:rFonts w:ascii="Times New Roman" w:hAnsi="Times New Roman" w:cs="Times New Roman"/>
        </w:rPr>
        <w:t xml:space="preserve">arife </w:t>
      </w:r>
      <w:r w:rsidR="00F139AE">
        <w:rPr>
          <w:rFonts w:ascii="Times New Roman" w:hAnsi="Times New Roman" w:cs="Times New Roman"/>
        </w:rPr>
        <w:t>i</w:t>
      </w:r>
      <w:r w:rsidR="0033709D">
        <w:rPr>
          <w:rFonts w:ascii="Times New Roman" w:hAnsi="Times New Roman" w:cs="Times New Roman"/>
        </w:rPr>
        <w:t xml:space="preserve">statistik </w:t>
      </w:r>
      <w:r w:rsidR="00F139AE">
        <w:rPr>
          <w:rFonts w:ascii="Times New Roman" w:hAnsi="Times New Roman" w:cs="Times New Roman"/>
        </w:rPr>
        <w:t>p</w:t>
      </w:r>
      <w:r w:rsidRPr="00EF24C4">
        <w:rPr>
          <w:rFonts w:ascii="Times New Roman" w:hAnsi="Times New Roman" w:cs="Times New Roman"/>
        </w:rPr>
        <w:t>ozisyonları</w:t>
      </w:r>
      <w:r w:rsidR="00C420C8">
        <w:rPr>
          <w:rFonts w:ascii="Times New Roman" w:hAnsi="Times New Roman" w:cs="Times New Roman"/>
        </w:rPr>
        <w:t xml:space="preserve"> (G.T.</w:t>
      </w:r>
      <w:r w:rsidR="0033709D">
        <w:rPr>
          <w:rFonts w:ascii="Times New Roman" w:hAnsi="Times New Roman" w:cs="Times New Roman"/>
        </w:rPr>
        <w:t>İ.</w:t>
      </w:r>
      <w:r w:rsidRPr="00EF24C4">
        <w:rPr>
          <w:rFonts w:ascii="Times New Roman" w:hAnsi="Times New Roman" w:cs="Times New Roman"/>
        </w:rPr>
        <w:t xml:space="preserve">P.) belirtilen </w:t>
      </w:r>
      <w:r w:rsidR="007F1DB4">
        <w:rPr>
          <w:rFonts w:ascii="Times New Roman" w:hAnsi="Times New Roman" w:cs="Times New Roman"/>
        </w:rPr>
        <w:t>Azerbaycan</w:t>
      </w:r>
      <w:r w:rsidR="00F671DB">
        <w:rPr>
          <w:rFonts w:ascii="Times New Roman" w:hAnsi="Times New Roman" w:cs="Times New Roman"/>
        </w:rPr>
        <w:t xml:space="preserve"> </w:t>
      </w:r>
      <w:r w:rsidR="00F671DB" w:rsidRPr="00F671DB">
        <w:rPr>
          <w:rFonts w:ascii="Times New Roman" w:hAnsi="Times New Roman" w:cs="Times New Roman"/>
        </w:rPr>
        <w:t>Cumhuriy</w:t>
      </w:r>
      <w:bookmarkStart w:id="0" w:name="_GoBack"/>
      <w:bookmarkEnd w:id="0"/>
      <w:r w:rsidR="00F671DB" w:rsidRPr="00F671DB">
        <w:rPr>
          <w:rFonts w:ascii="Times New Roman" w:hAnsi="Times New Roman" w:cs="Times New Roman"/>
        </w:rPr>
        <w:t>eti</w:t>
      </w:r>
      <w:r w:rsidR="00814136" w:rsidRPr="00F671DB">
        <w:rPr>
          <w:rFonts w:ascii="Times New Roman" w:hAnsi="Times New Roman" w:cs="Times New Roman"/>
        </w:rPr>
        <w:t xml:space="preserve"> </w:t>
      </w:r>
      <w:r w:rsidR="00FE2D7D">
        <w:rPr>
          <w:rFonts w:ascii="Times New Roman" w:hAnsi="Times New Roman" w:cs="Times New Roman"/>
        </w:rPr>
        <w:t xml:space="preserve">menşeli </w:t>
      </w:r>
      <w:r w:rsidR="00356F05">
        <w:rPr>
          <w:rFonts w:ascii="Times New Roman" w:hAnsi="Times New Roman" w:cs="Times New Roman"/>
        </w:rPr>
        <w:t>ürünler</w:t>
      </w:r>
      <w:r w:rsidRPr="00EF24C4">
        <w:rPr>
          <w:rFonts w:ascii="Times New Roman" w:hAnsi="Times New Roman" w:cs="Times New Roman"/>
        </w:rPr>
        <w:t xml:space="preserve"> için karşılarında gösterilen miktarlarda tarife kontenjanı açılmıştır.</w:t>
      </w:r>
    </w:p>
    <w:p w:rsidR="00FE2D7D" w:rsidRDefault="007C51F5" w:rsidP="007C51F5">
      <w:pPr>
        <w:pStyle w:val="NormalWeb"/>
        <w:spacing w:before="120" w:beforeAutospacing="0" w:after="120" w:afterAutospacing="0" w:line="276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E2D7D" w:rsidRPr="00C22EAC">
        <w:rPr>
          <w:rFonts w:ascii="Times New Roman" w:hAnsi="Times New Roman" w:cs="Times New Roman"/>
          <w:b/>
        </w:rPr>
        <w:t>Tablo</w:t>
      </w:r>
    </w:p>
    <w:tbl>
      <w:tblPr>
        <w:tblW w:w="6160" w:type="dxa"/>
        <w:tblInd w:w="1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3651"/>
      </w:tblGrid>
      <w:tr w:rsidR="007C51F5" w:rsidRPr="007C51F5" w:rsidTr="007C51F5">
        <w:trPr>
          <w:trHeight w:val="570"/>
          <w:tblHeader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b/>
                <w:bCs/>
                <w:color w:val="000000"/>
              </w:rPr>
            </w:pPr>
            <w:r w:rsidRPr="007C51F5">
              <w:rPr>
                <w:b/>
                <w:bCs/>
                <w:color w:val="000000"/>
              </w:rPr>
              <w:t>G.T.İ.P.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b/>
                <w:bCs/>
                <w:color w:val="000000"/>
              </w:rPr>
            </w:pPr>
            <w:r w:rsidRPr="007C51F5">
              <w:rPr>
                <w:b/>
                <w:bCs/>
                <w:color w:val="000000"/>
              </w:rPr>
              <w:t>Tarife Kontenjanı Miktarı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0406.90.99.00.11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100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0406.90.99.00.12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0406.90.99.00.19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0806.10.10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3.500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0808.10.80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3.000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0809.40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3.000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0810.70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30.000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0902.30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300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1512.19.90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5.000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1516.20.98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2.500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1701.99.10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5.000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1806.90.19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1.250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2001.10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500 ton</w:t>
            </w:r>
          </w:p>
        </w:tc>
      </w:tr>
      <w:tr w:rsidR="00642E3A" w:rsidRPr="007C51F5" w:rsidTr="00C75271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E3A" w:rsidRPr="007C51F5" w:rsidRDefault="00642E3A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2002.90.</w:t>
            </w:r>
            <w:r>
              <w:rPr>
                <w:color w:val="000000"/>
              </w:rPr>
              <w:t>49.00.00</w:t>
            </w:r>
          </w:p>
        </w:tc>
        <w:tc>
          <w:tcPr>
            <w:tcW w:w="36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E3A" w:rsidRPr="007C51F5" w:rsidRDefault="00642E3A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750 ton</w:t>
            </w:r>
          </w:p>
        </w:tc>
      </w:tr>
      <w:tr w:rsidR="00642E3A" w:rsidRPr="007C51F5" w:rsidTr="00C75271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E3A" w:rsidRPr="007C51F5" w:rsidRDefault="00642E3A" w:rsidP="007C51F5">
            <w:pPr>
              <w:rPr>
                <w:color w:val="000000"/>
              </w:rPr>
            </w:pPr>
            <w:r>
              <w:rPr>
                <w:color w:val="000000"/>
              </w:rPr>
              <w:t>2002.90.80.00.00</w:t>
            </w:r>
          </w:p>
        </w:tc>
        <w:tc>
          <w:tcPr>
            <w:tcW w:w="36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E3A" w:rsidRPr="007C51F5" w:rsidRDefault="00642E3A" w:rsidP="007C51F5">
            <w:pPr>
              <w:jc w:val="center"/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2007.99.97.00.13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3.000 ton</w:t>
            </w: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2007.99.97.00.14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lastRenderedPageBreak/>
              <w:t>2007.99.97.00.15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2007.99.97.00.16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2007.99.97.00.17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2007.99.97.00.18</w:t>
            </w: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</w:p>
        </w:tc>
      </w:tr>
      <w:tr w:rsidR="007C51F5" w:rsidRPr="007C51F5" w:rsidTr="007C51F5">
        <w:trPr>
          <w:trHeight w:val="326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2009.79.19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2.000 ton</w:t>
            </w:r>
          </w:p>
        </w:tc>
      </w:tr>
      <w:tr w:rsidR="007C51F5" w:rsidRPr="007C51F5" w:rsidTr="00D6140A">
        <w:trPr>
          <w:trHeight w:val="3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F5" w:rsidRPr="007C51F5" w:rsidRDefault="007C51F5" w:rsidP="007C51F5">
            <w:pPr>
              <w:rPr>
                <w:color w:val="000000"/>
              </w:rPr>
            </w:pPr>
            <w:r w:rsidRPr="007C51F5">
              <w:rPr>
                <w:color w:val="000000"/>
              </w:rPr>
              <w:t>2204.21.96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1F5" w:rsidRPr="007C51F5" w:rsidRDefault="007C51F5" w:rsidP="007C51F5">
            <w:pPr>
              <w:jc w:val="center"/>
              <w:rPr>
                <w:color w:val="000000"/>
              </w:rPr>
            </w:pPr>
            <w:r w:rsidRPr="007C51F5">
              <w:rPr>
                <w:color w:val="000000"/>
              </w:rPr>
              <w:t>9.000 hl</w:t>
            </w:r>
          </w:p>
        </w:tc>
      </w:tr>
      <w:tr w:rsidR="00F412D6" w:rsidRPr="007C51F5" w:rsidTr="00D6140A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D6" w:rsidRPr="007C51F5" w:rsidRDefault="00D6140A" w:rsidP="007C51F5">
            <w:pPr>
              <w:rPr>
                <w:color w:val="000000"/>
              </w:rPr>
            </w:pPr>
            <w:r>
              <w:rPr>
                <w:color w:val="000000"/>
              </w:rPr>
              <w:t>2204.21.93.00.00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2D6" w:rsidRPr="007C51F5" w:rsidRDefault="00F412D6" w:rsidP="00D6140A">
            <w:pPr>
              <w:rPr>
                <w:color w:val="000000"/>
              </w:rPr>
            </w:pPr>
          </w:p>
        </w:tc>
      </w:tr>
      <w:tr w:rsidR="00F412D6" w:rsidRPr="007C51F5" w:rsidTr="00D6140A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D6" w:rsidRPr="007C51F5" w:rsidRDefault="00D6140A" w:rsidP="007C51F5">
            <w:pPr>
              <w:rPr>
                <w:color w:val="000000"/>
              </w:rPr>
            </w:pPr>
            <w:r>
              <w:rPr>
                <w:color w:val="000000"/>
              </w:rPr>
              <w:t>2204.21.94.00.00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2D6" w:rsidRPr="007C51F5" w:rsidRDefault="00F412D6" w:rsidP="00D6140A">
            <w:pPr>
              <w:rPr>
                <w:color w:val="000000"/>
              </w:rPr>
            </w:pPr>
          </w:p>
        </w:tc>
      </w:tr>
      <w:tr w:rsidR="00F412D6" w:rsidRPr="007C51F5" w:rsidTr="00D6140A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D6" w:rsidRPr="007C51F5" w:rsidRDefault="00D6140A" w:rsidP="007C51F5">
            <w:pPr>
              <w:rPr>
                <w:color w:val="000000"/>
              </w:rPr>
            </w:pPr>
            <w:r>
              <w:rPr>
                <w:color w:val="000000"/>
              </w:rPr>
              <w:t>2204.21.95.00.00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2D6" w:rsidRPr="007C51F5" w:rsidRDefault="00F412D6" w:rsidP="007C51F5">
            <w:pPr>
              <w:jc w:val="center"/>
              <w:rPr>
                <w:color w:val="000000"/>
              </w:rPr>
            </w:pPr>
          </w:p>
        </w:tc>
      </w:tr>
      <w:tr w:rsidR="00F412D6" w:rsidRPr="007C51F5" w:rsidTr="00D6140A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D6" w:rsidRPr="007C51F5" w:rsidRDefault="00D6140A" w:rsidP="007C51F5">
            <w:pPr>
              <w:rPr>
                <w:color w:val="000000"/>
              </w:rPr>
            </w:pPr>
            <w:r>
              <w:rPr>
                <w:color w:val="000000"/>
              </w:rPr>
              <w:t>2204.21.97.00.00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2D6" w:rsidRPr="007C51F5" w:rsidRDefault="00D6140A" w:rsidP="007C5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15.000 hl</w:t>
            </w:r>
          </w:p>
        </w:tc>
      </w:tr>
      <w:tr w:rsidR="00F412D6" w:rsidRPr="007C51F5" w:rsidTr="00D6140A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D6" w:rsidRPr="007C51F5" w:rsidRDefault="00D6140A" w:rsidP="007C51F5">
            <w:pPr>
              <w:rPr>
                <w:color w:val="000000"/>
              </w:rPr>
            </w:pPr>
            <w:r>
              <w:rPr>
                <w:color w:val="000000"/>
              </w:rPr>
              <w:t>2204.21.98.00.00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2D6" w:rsidRPr="007C51F5" w:rsidRDefault="00F412D6" w:rsidP="007C51F5">
            <w:pPr>
              <w:jc w:val="center"/>
              <w:rPr>
                <w:color w:val="000000"/>
              </w:rPr>
            </w:pPr>
          </w:p>
        </w:tc>
      </w:tr>
      <w:tr w:rsidR="00D6140A" w:rsidRPr="007C51F5" w:rsidTr="00D6140A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40A" w:rsidRDefault="00D6140A" w:rsidP="007C51F5">
            <w:pPr>
              <w:rPr>
                <w:color w:val="000000"/>
              </w:rPr>
            </w:pPr>
            <w:r>
              <w:rPr>
                <w:color w:val="000000"/>
              </w:rPr>
              <w:t>2206.00.59.00.00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40A" w:rsidRPr="007C51F5" w:rsidRDefault="00D6140A" w:rsidP="007C51F5">
            <w:pPr>
              <w:jc w:val="center"/>
              <w:rPr>
                <w:color w:val="000000"/>
              </w:rPr>
            </w:pPr>
          </w:p>
        </w:tc>
      </w:tr>
    </w:tbl>
    <w:p w:rsidR="007C51F5" w:rsidRPr="00C22EAC" w:rsidRDefault="007C51F5" w:rsidP="004450E4">
      <w:pPr>
        <w:pStyle w:val="NormalWeb"/>
        <w:spacing w:before="120" w:beforeAutospacing="0" w:after="120" w:afterAutospacing="0" w:line="276" w:lineRule="auto"/>
        <w:ind w:left="1416"/>
        <w:jc w:val="both"/>
        <w:rPr>
          <w:rFonts w:ascii="Times New Roman" w:hAnsi="Times New Roman" w:cs="Times New Roman"/>
          <w:b/>
        </w:rPr>
      </w:pPr>
    </w:p>
    <w:p w:rsidR="0021011F" w:rsidRPr="007A7E62" w:rsidRDefault="00F65FD4" w:rsidP="004450E4">
      <w:pPr>
        <w:pStyle w:val="3-normalyaz"/>
        <w:spacing w:after="0" w:afterAutospacing="0" w:line="240" w:lineRule="atLeast"/>
        <w:ind w:firstLine="708"/>
        <w:jc w:val="both"/>
        <w:rPr>
          <w:b/>
          <w:bCs/>
        </w:rPr>
      </w:pPr>
      <w:r>
        <w:rPr>
          <w:b/>
        </w:rPr>
        <w:t>İthalat</w:t>
      </w:r>
      <w:r w:rsidR="004B78B2" w:rsidRPr="00720974">
        <w:rPr>
          <w:b/>
        </w:rPr>
        <w:t xml:space="preserve"> </w:t>
      </w:r>
      <w:r w:rsidR="0042441C" w:rsidRPr="00720974">
        <w:rPr>
          <w:b/>
        </w:rPr>
        <w:t>vergileri</w:t>
      </w:r>
      <w:r w:rsidR="0042441C" w:rsidRPr="005F735E">
        <w:rPr>
          <w:b/>
        </w:rPr>
        <w:t xml:space="preserve"> </w:t>
      </w:r>
    </w:p>
    <w:p w:rsidR="00374493" w:rsidRPr="00720974" w:rsidRDefault="00374493" w:rsidP="004450E4">
      <w:pPr>
        <w:pStyle w:val="GvdeMetni"/>
        <w:spacing w:line="276" w:lineRule="auto"/>
        <w:ind w:firstLine="708"/>
        <w:jc w:val="both"/>
      </w:pPr>
      <w:r w:rsidRPr="00EF24C4">
        <w:rPr>
          <w:b/>
        </w:rPr>
        <w:t xml:space="preserve">MADDE 3- </w:t>
      </w:r>
      <w:r w:rsidR="00F86849" w:rsidRPr="00F50C22">
        <w:rPr>
          <w:b/>
        </w:rPr>
        <w:t>(</w:t>
      </w:r>
      <w:hyperlink r:id="rId9" w:history="1">
        <w:proofErr w:type="gramStart"/>
        <w:r w:rsidR="00F86849" w:rsidRPr="000B0402">
          <w:rPr>
            <w:rStyle w:val="Kpr"/>
            <w:b/>
            <w:color w:val="auto"/>
            <w:u w:val="none"/>
          </w:rPr>
          <w:t>Değişik:RG</w:t>
        </w:r>
        <w:proofErr w:type="gramEnd"/>
        <w:r w:rsidR="00F86849" w:rsidRPr="000B0402">
          <w:rPr>
            <w:rStyle w:val="Kpr"/>
            <w:b/>
            <w:color w:val="auto"/>
            <w:u w:val="none"/>
          </w:rPr>
          <w:t>-31/12/2021-31706 5. Mükerrer</w:t>
        </w:r>
      </w:hyperlink>
      <w:r w:rsidR="00F86849" w:rsidRPr="00F50C22">
        <w:rPr>
          <w:b/>
        </w:rPr>
        <w:t>)</w:t>
      </w:r>
      <w:r w:rsidR="00F86849">
        <w:rPr>
          <w:bCs/>
        </w:rPr>
        <w:t xml:space="preserve"> </w:t>
      </w:r>
      <w:r w:rsidR="00AD529E">
        <w:rPr>
          <w:bCs/>
        </w:rPr>
        <w:t xml:space="preserve">(1) </w:t>
      </w:r>
      <w:r w:rsidR="00DD39BE" w:rsidRPr="00720974">
        <w:t xml:space="preserve">2 </w:t>
      </w:r>
      <w:proofErr w:type="spellStart"/>
      <w:r w:rsidR="00DD39BE" w:rsidRPr="00720974">
        <w:t>nci</w:t>
      </w:r>
      <w:proofErr w:type="spellEnd"/>
      <w:r w:rsidR="00DD39BE" w:rsidRPr="00720974">
        <w:t xml:space="preserve"> maddedeki tabloda yer alan tarife kontenjanları çerçevesinde yapılacak ithalatta gümrük vergisi </w:t>
      </w:r>
      <w:r w:rsidR="00720974">
        <w:t xml:space="preserve">ile </w:t>
      </w:r>
      <w:r w:rsidR="00720974" w:rsidRPr="00720974">
        <w:t>varsa ek mali yük</w:t>
      </w:r>
      <w:r w:rsidR="00D01BA5">
        <w:t xml:space="preserve">ümlülükler </w:t>
      </w:r>
      <w:r w:rsidR="00424583">
        <w:t>0 (sıfır) olarak uygulanır.</w:t>
      </w:r>
      <w:r w:rsidR="00DD39BE" w:rsidRPr="00720974">
        <w:t xml:space="preserve"> </w:t>
      </w:r>
      <w:r w:rsidR="00F86849">
        <w:t xml:space="preserve">Tarife kontenjanı </w:t>
      </w:r>
      <w:r w:rsidR="00DD39BE" w:rsidRPr="00720974">
        <w:t xml:space="preserve">dışında yapılacak ithalatta ise yürürlükteki İthalat Rejimi Kararı çerçevesinde söz konusu </w:t>
      </w:r>
      <w:r w:rsidR="007A7E62" w:rsidRPr="00720974">
        <w:t>eşya</w:t>
      </w:r>
      <w:r w:rsidR="00DD39BE" w:rsidRPr="00720974">
        <w:t xml:space="preserve"> için tespit edilen gümrük vergisi ile varsa </w:t>
      </w:r>
      <w:r w:rsidR="00720974" w:rsidRPr="00720974">
        <w:t>ek mali yük</w:t>
      </w:r>
      <w:r w:rsidR="00FF38EF">
        <w:t xml:space="preserve">ümlülükler </w:t>
      </w:r>
      <w:r w:rsidR="00DD39BE" w:rsidRPr="00720974">
        <w:t>uygulanır</w:t>
      </w:r>
      <w:r w:rsidRPr="00720974">
        <w:t>.</w:t>
      </w:r>
    </w:p>
    <w:p w:rsidR="00073DA1" w:rsidRPr="00214E63" w:rsidRDefault="00073DA1" w:rsidP="004450E4">
      <w:pPr>
        <w:pStyle w:val="GvdeMetni"/>
        <w:spacing w:before="120" w:after="0" w:line="276" w:lineRule="auto"/>
        <w:jc w:val="both"/>
        <w:rPr>
          <w:b/>
          <w:bCs/>
          <w:sz w:val="20"/>
        </w:rPr>
      </w:pPr>
    </w:p>
    <w:p w:rsidR="0021011F" w:rsidRPr="00EF24C4" w:rsidRDefault="00DC1745" w:rsidP="004450E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Usul ve esaslar</w:t>
      </w:r>
    </w:p>
    <w:p w:rsidR="0021011F" w:rsidRPr="00EF24C4" w:rsidRDefault="0021011F" w:rsidP="004450E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F24C4">
        <w:rPr>
          <w:b/>
          <w:bCs/>
        </w:rPr>
        <w:t>MA</w:t>
      </w:r>
      <w:r w:rsidRPr="00356F05">
        <w:rPr>
          <w:b/>
          <w:bCs/>
        </w:rPr>
        <w:t xml:space="preserve">DDE </w:t>
      </w:r>
      <w:r w:rsidR="00356F05" w:rsidRPr="00356F05">
        <w:rPr>
          <w:b/>
          <w:bCs/>
        </w:rPr>
        <w:t>4</w:t>
      </w:r>
      <w:r w:rsidRPr="00356F05">
        <w:rPr>
          <w:b/>
          <w:bCs/>
        </w:rPr>
        <w:t xml:space="preserve">- </w:t>
      </w:r>
      <w:r w:rsidRPr="00356F05">
        <w:rPr>
          <w:bCs/>
        </w:rPr>
        <w:t>(</w:t>
      </w:r>
      <w:r w:rsidRPr="00EF24C4">
        <w:rPr>
          <w:bCs/>
        </w:rPr>
        <w:t xml:space="preserve">1) </w:t>
      </w:r>
      <w:r w:rsidRPr="00EF24C4">
        <w:t>Bu Karar çerçevesinde tespit edilen tarife kontenjanlarının dağıtım yöntemi ile başvuru ve kullanım usul ve esasları</w:t>
      </w:r>
      <w:r w:rsidR="00F139AE">
        <w:t>,</w:t>
      </w:r>
      <w:r w:rsidRPr="00EF24C4">
        <w:t xml:space="preserve"> </w:t>
      </w:r>
      <w:r w:rsidR="005D6D29">
        <w:t>Ticaret</w:t>
      </w:r>
      <w:r w:rsidR="008628CB">
        <w:t xml:space="preserve"> Bakanlığı</w:t>
      </w:r>
      <w:r w:rsidRPr="00EF24C4">
        <w:t xml:space="preserve">nca yayımlanacak </w:t>
      </w:r>
      <w:r w:rsidRPr="00B35FDA">
        <w:t>tebliğ</w:t>
      </w:r>
      <w:r w:rsidRPr="00EF24C4">
        <w:t>lerle belirlenir.</w:t>
      </w:r>
    </w:p>
    <w:p w:rsidR="00A7293C" w:rsidRDefault="00A7293C" w:rsidP="004450E4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21011F" w:rsidRPr="00EF24C4" w:rsidRDefault="0021011F" w:rsidP="004450E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EF24C4">
        <w:rPr>
          <w:b/>
        </w:rPr>
        <w:t>Kontenjan dönemleri</w:t>
      </w:r>
    </w:p>
    <w:p w:rsidR="0021011F" w:rsidRDefault="00356F05" w:rsidP="004450E4">
      <w:pPr>
        <w:autoSpaceDE w:val="0"/>
        <w:autoSpaceDN w:val="0"/>
        <w:adjustRightInd w:val="0"/>
        <w:spacing w:after="120" w:line="276" w:lineRule="auto"/>
        <w:ind w:firstLine="708"/>
        <w:jc w:val="both"/>
      </w:pPr>
      <w:r>
        <w:rPr>
          <w:b/>
        </w:rPr>
        <w:t>MADDE 5</w:t>
      </w:r>
      <w:r w:rsidR="0021011F" w:rsidRPr="00EF24C4">
        <w:rPr>
          <w:b/>
        </w:rPr>
        <w:t xml:space="preserve">- </w:t>
      </w:r>
      <w:r w:rsidR="0021011F" w:rsidRPr="00EF24C4">
        <w:t>(1) 2</w:t>
      </w:r>
      <w:r w:rsidR="00F671DB">
        <w:t xml:space="preserve"> </w:t>
      </w:r>
      <w:proofErr w:type="spellStart"/>
      <w:r w:rsidR="0021011F" w:rsidRPr="00EF24C4">
        <w:t>nci</w:t>
      </w:r>
      <w:proofErr w:type="spellEnd"/>
      <w:r w:rsidR="0021011F" w:rsidRPr="00EF24C4">
        <w:t xml:space="preserve"> maddedeki tabloda yer alan tarife </w:t>
      </w:r>
      <w:r w:rsidR="0021011F" w:rsidRPr="007A7E62">
        <w:t xml:space="preserve">kontenjanı miktarları bir takvim yılında dağıtılacak olan miktarları göstermekte olup, her takvim yılında yeniden </w:t>
      </w:r>
      <w:r w:rsidR="0021011F" w:rsidRPr="00EF24C4">
        <w:t>dağıtılır.</w:t>
      </w:r>
    </w:p>
    <w:p w:rsidR="00131FA6" w:rsidRPr="00214E63" w:rsidRDefault="00131FA6" w:rsidP="004450E4">
      <w:pPr>
        <w:autoSpaceDE w:val="0"/>
        <w:autoSpaceDN w:val="0"/>
        <w:adjustRightInd w:val="0"/>
        <w:spacing w:before="120" w:line="276" w:lineRule="auto"/>
        <w:jc w:val="both"/>
        <w:rPr>
          <w:strike/>
          <w:sz w:val="20"/>
        </w:rPr>
      </w:pPr>
    </w:p>
    <w:p w:rsidR="0021011F" w:rsidRPr="00EF24C4" w:rsidRDefault="004C7AB5" w:rsidP="004450E4">
      <w:pPr>
        <w:spacing w:line="276" w:lineRule="auto"/>
        <w:ind w:firstLine="708"/>
        <w:jc w:val="both"/>
        <w:rPr>
          <w:b/>
        </w:rPr>
      </w:pPr>
      <w:r>
        <w:rPr>
          <w:b/>
        </w:rPr>
        <w:t>Diğer m</w:t>
      </w:r>
      <w:r w:rsidR="0021011F" w:rsidRPr="00EF24C4">
        <w:rPr>
          <w:b/>
        </w:rPr>
        <w:t>evzuat</w:t>
      </w:r>
    </w:p>
    <w:p w:rsidR="0021011F" w:rsidRDefault="00356F05" w:rsidP="004450E4">
      <w:pPr>
        <w:pStyle w:val="NormalWeb"/>
        <w:spacing w:before="0" w:beforeAutospacing="0" w:after="120" w:afterAutospacing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MADDE 6</w:t>
      </w:r>
      <w:r w:rsidR="0021011F" w:rsidRPr="00EF24C4">
        <w:rPr>
          <w:rFonts w:ascii="Times New Roman" w:hAnsi="Times New Roman" w:cs="Times New Roman"/>
          <w:b/>
          <w:bCs/>
        </w:rPr>
        <w:t>-</w:t>
      </w:r>
      <w:r w:rsidR="004C7AB5">
        <w:rPr>
          <w:rFonts w:ascii="Times New Roman" w:hAnsi="Times New Roman" w:cs="Times New Roman"/>
        </w:rPr>
        <w:t xml:space="preserve"> </w:t>
      </w:r>
      <w:r w:rsidR="0021011F" w:rsidRPr="00EF24C4">
        <w:rPr>
          <w:rFonts w:ascii="Times New Roman" w:hAnsi="Times New Roman" w:cs="Times New Roman"/>
        </w:rPr>
        <w:t>(1) Bu Kararda yer almayan hususlarda, İthalat Rejimi Kararı ve diğer ilgili mevzuat hükümleri uygulanır.</w:t>
      </w:r>
    </w:p>
    <w:p w:rsidR="00131FA6" w:rsidRPr="00214E63" w:rsidRDefault="00131FA6" w:rsidP="004450E4">
      <w:pPr>
        <w:pStyle w:val="NormalWeb"/>
        <w:spacing w:before="120" w:beforeAutospacing="0" w:after="0" w:afterAutospacing="0" w:line="276" w:lineRule="auto"/>
        <w:jc w:val="both"/>
        <w:rPr>
          <w:rFonts w:ascii="Times New Roman" w:hAnsi="Times New Roman" w:cs="Times New Roman"/>
          <w:sz w:val="20"/>
        </w:rPr>
      </w:pPr>
    </w:p>
    <w:p w:rsidR="001961C6" w:rsidRPr="00EF24C4" w:rsidRDefault="001961C6" w:rsidP="004450E4">
      <w:pPr>
        <w:spacing w:line="276" w:lineRule="auto"/>
        <w:ind w:firstLine="708"/>
        <w:jc w:val="both"/>
        <w:rPr>
          <w:b/>
        </w:rPr>
      </w:pPr>
      <w:r w:rsidRPr="00EF24C4">
        <w:rPr>
          <w:b/>
        </w:rPr>
        <w:t xml:space="preserve">Yürürlük </w:t>
      </w:r>
      <w:r w:rsidRPr="00EF24C4">
        <w:rPr>
          <w:b/>
        </w:rPr>
        <w:tab/>
      </w:r>
      <w:r w:rsidRPr="00EF24C4">
        <w:rPr>
          <w:b/>
        </w:rPr>
        <w:tab/>
      </w:r>
      <w:r w:rsidRPr="00EF24C4">
        <w:rPr>
          <w:b/>
        </w:rPr>
        <w:tab/>
      </w:r>
      <w:r w:rsidRPr="00EF24C4">
        <w:rPr>
          <w:b/>
        </w:rPr>
        <w:tab/>
      </w:r>
      <w:r w:rsidRPr="00EF24C4">
        <w:rPr>
          <w:b/>
        </w:rPr>
        <w:tab/>
      </w:r>
      <w:r w:rsidRPr="00EF24C4">
        <w:rPr>
          <w:b/>
        </w:rPr>
        <w:tab/>
      </w:r>
      <w:r w:rsidRPr="00EF24C4">
        <w:rPr>
          <w:b/>
        </w:rPr>
        <w:tab/>
      </w:r>
      <w:r w:rsidRPr="00EF24C4">
        <w:rPr>
          <w:b/>
        </w:rPr>
        <w:tab/>
      </w:r>
    </w:p>
    <w:p w:rsidR="001961C6" w:rsidRDefault="00131FA6" w:rsidP="004450E4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MADDE </w:t>
      </w:r>
      <w:r w:rsidR="00356F05">
        <w:rPr>
          <w:rFonts w:ascii="Times New Roman" w:hAnsi="Times New Roman" w:cs="Times New Roman"/>
          <w:b/>
          <w:bCs/>
        </w:rPr>
        <w:t>7</w:t>
      </w:r>
      <w:r w:rsidR="001961C6" w:rsidRPr="00EF24C4">
        <w:rPr>
          <w:rFonts w:ascii="Times New Roman" w:hAnsi="Times New Roman" w:cs="Times New Roman"/>
          <w:b/>
          <w:bCs/>
        </w:rPr>
        <w:t>-</w:t>
      </w:r>
      <w:r w:rsidR="001961C6" w:rsidRPr="00EF24C4">
        <w:rPr>
          <w:rFonts w:ascii="Times New Roman" w:hAnsi="Times New Roman" w:cs="Times New Roman"/>
        </w:rPr>
        <w:t xml:space="preserve"> (1</w:t>
      </w:r>
      <w:r w:rsidR="001961C6" w:rsidRPr="009C3022">
        <w:rPr>
          <w:rFonts w:ascii="Times New Roman" w:hAnsi="Times New Roman" w:cs="Times New Roman"/>
        </w:rPr>
        <w:t xml:space="preserve">) </w:t>
      </w:r>
      <w:r w:rsidR="00DD39BE">
        <w:rPr>
          <w:rFonts w:ascii="Times New Roman" w:hAnsi="Times New Roman" w:cs="Times New Roman"/>
        </w:rPr>
        <w:t xml:space="preserve">Bu Karar </w:t>
      </w:r>
      <w:r w:rsidR="00424583">
        <w:rPr>
          <w:rFonts w:ascii="Times New Roman" w:hAnsi="Times New Roman" w:cs="Times New Roman"/>
        </w:rPr>
        <w:t>yayımı</w:t>
      </w:r>
      <w:r w:rsidR="001961C6" w:rsidRPr="005561B1">
        <w:rPr>
          <w:rFonts w:ascii="Times New Roman" w:hAnsi="Times New Roman" w:cs="Times New Roman"/>
        </w:rPr>
        <w:t xml:space="preserve"> tarihinde</w:t>
      </w:r>
      <w:r w:rsidR="0006341A" w:rsidRPr="005561B1">
        <w:rPr>
          <w:rFonts w:ascii="Times New Roman" w:hAnsi="Times New Roman" w:cs="Times New Roman"/>
        </w:rPr>
        <w:t xml:space="preserve"> </w:t>
      </w:r>
      <w:r w:rsidR="001961C6" w:rsidRPr="004F6824">
        <w:rPr>
          <w:rFonts w:ascii="Times New Roman" w:hAnsi="Times New Roman" w:cs="Times New Roman"/>
        </w:rPr>
        <w:t>yürürlüğe girer.</w:t>
      </w:r>
    </w:p>
    <w:p w:rsidR="00214E63" w:rsidRPr="00214E63" w:rsidRDefault="00214E63" w:rsidP="004450E4">
      <w:pPr>
        <w:pStyle w:val="NormalWeb"/>
        <w:spacing w:before="120" w:beforeAutospacing="0" w:after="0" w:afterAutospacing="0" w:line="276" w:lineRule="auto"/>
        <w:jc w:val="both"/>
        <w:rPr>
          <w:rFonts w:ascii="Times New Roman" w:hAnsi="Times New Roman" w:cs="Times New Roman"/>
          <w:sz w:val="20"/>
        </w:rPr>
      </w:pPr>
    </w:p>
    <w:p w:rsidR="001961C6" w:rsidRPr="00EF24C4" w:rsidRDefault="001961C6" w:rsidP="004450E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EF24C4">
        <w:rPr>
          <w:b/>
        </w:rPr>
        <w:t>Yürütme</w:t>
      </w:r>
    </w:p>
    <w:p w:rsidR="003160B1" w:rsidRDefault="00356F05" w:rsidP="004450E4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b/>
          <w:bCs/>
        </w:rPr>
        <w:t>MADDE 8</w:t>
      </w:r>
      <w:r w:rsidR="001961C6" w:rsidRPr="00EF24C4">
        <w:rPr>
          <w:b/>
          <w:bCs/>
        </w:rPr>
        <w:t xml:space="preserve"> –</w:t>
      </w:r>
      <w:r w:rsidR="001961C6" w:rsidRPr="00EF24C4">
        <w:t xml:space="preserve"> (1) Bu Karar hükümlerini </w:t>
      </w:r>
      <w:r w:rsidR="005D6D29">
        <w:t>Ticaret</w:t>
      </w:r>
      <w:r w:rsidR="001961C6" w:rsidRPr="00EF24C4">
        <w:t xml:space="preserve"> Bakanı yürütür.</w:t>
      </w:r>
    </w:p>
    <w:p w:rsidR="00BE18C4" w:rsidRDefault="00BE18C4" w:rsidP="004450E4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BE18C4" w:rsidRDefault="00BE18C4" w:rsidP="004450E4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3160B1" w:rsidRDefault="003160B1" w:rsidP="004450E4">
      <w:pPr>
        <w:autoSpaceDE w:val="0"/>
        <w:autoSpaceDN w:val="0"/>
        <w:adjustRightInd w:val="0"/>
        <w:spacing w:line="276" w:lineRule="auto"/>
        <w:ind w:firstLine="708"/>
        <w:jc w:val="both"/>
      </w:pPr>
    </w:p>
    <w:tbl>
      <w:tblPr>
        <w:tblW w:w="91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884"/>
      </w:tblGrid>
      <w:tr w:rsidR="009B3702" w:rsidRPr="009B3702" w:rsidTr="009B3702">
        <w:trPr>
          <w:trHeight w:val="483"/>
        </w:trPr>
        <w:tc>
          <w:tcPr>
            <w:tcW w:w="9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b/>
                <w:bCs/>
                <w:color w:val="000000"/>
              </w:rPr>
            </w:pPr>
            <w:r w:rsidRPr="009B3702">
              <w:rPr>
                <w:b/>
                <w:bCs/>
                <w:color w:val="000000"/>
              </w:rPr>
              <w:lastRenderedPageBreak/>
              <w:t>Kararın Yayımlandığı Resmî Gazete’nin</w:t>
            </w:r>
          </w:p>
        </w:tc>
      </w:tr>
      <w:tr w:rsidR="009B3702" w:rsidRPr="009B3702" w:rsidTr="009B3702">
        <w:trPr>
          <w:trHeight w:val="4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b/>
                <w:bCs/>
                <w:color w:val="000000"/>
              </w:rPr>
            </w:pPr>
            <w:r w:rsidRPr="009B3702">
              <w:rPr>
                <w:b/>
                <w:bCs/>
                <w:color w:val="000000"/>
              </w:rPr>
              <w:t>Tarihi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b/>
                <w:bCs/>
                <w:color w:val="000000"/>
              </w:rPr>
            </w:pPr>
            <w:r w:rsidRPr="009B3702">
              <w:rPr>
                <w:b/>
                <w:bCs/>
                <w:color w:val="000000"/>
              </w:rPr>
              <w:t>Sayısı</w:t>
            </w:r>
          </w:p>
        </w:tc>
      </w:tr>
      <w:tr w:rsidR="009B3702" w:rsidRPr="009B3702" w:rsidTr="009B3702">
        <w:trPr>
          <w:trHeight w:val="23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color w:val="000000"/>
              </w:rPr>
            </w:pPr>
            <w:r w:rsidRPr="009B3702">
              <w:rPr>
                <w:color w:val="000000"/>
              </w:rPr>
              <w:t>02/03/2021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color w:val="000000"/>
              </w:rPr>
            </w:pPr>
            <w:r w:rsidRPr="009B3702">
              <w:rPr>
                <w:color w:val="000000"/>
              </w:rPr>
              <w:t>31411</w:t>
            </w:r>
          </w:p>
        </w:tc>
      </w:tr>
      <w:tr w:rsidR="009B3702" w:rsidRPr="009B3702" w:rsidTr="009B3702">
        <w:trPr>
          <w:trHeight w:val="553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b/>
                <w:bCs/>
                <w:color w:val="000000"/>
              </w:rPr>
            </w:pPr>
            <w:r w:rsidRPr="009B3702">
              <w:rPr>
                <w:b/>
                <w:bCs/>
                <w:color w:val="000000"/>
              </w:rPr>
              <w:t>Kararda Değişiklik Yapan Düzenlemelerin Yayımlandığı Resmî Gazetelerin</w:t>
            </w:r>
          </w:p>
        </w:tc>
      </w:tr>
      <w:tr w:rsidR="009B3702" w:rsidRPr="009B3702" w:rsidTr="009B3702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b/>
                <w:bCs/>
                <w:color w:val="000000"/>
              </w:rPr>
            </w:pPr>
            <w:r w:rsidRPr="009B3702">
              <w:rPr>
                <w:b/>
                <w:bCs/>
                <w:color w:val="000000"/>
              </w:rPr>
              <w:t>Tarihi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b/>
                <w:bCs/>
                <w:color w:val="000000"/>
              </w:rPr>
            </w:pPr>
            <w:r w:rsidRPr="009B3702">
              <w:rPr>
                <w:b/>
                <w:bCs/>
                <w:color w:val="000000"/>
              </w:rPr>
              <w:t>Sayısı</w:t>
            </w:r>
          </w:p>
        </w:tc>
      </w:tr>
      <w:tr w:rsidR="009B3702" w:rsidRPr="009B3702" w:rsidTr="00775EAA">
        <w:trPr>
          <w:trHeight w:val="24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color w:val="000000"/>
              </w:rPr>
            </w:pPr>
            <w:r w:rsidRPr="009B3702">
              <w:rPr>
                <w:color w:val="000000"/>
              </w:rPr>
              <w:t>31/12/2021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702" w:rsidRPr="009B3702" w:rsidRDefault="009B3702" w:rsidP="009B3702">
            <w:pPr>
              <w:jc w:val="center"/>
              <w:rPr>
                <w:color w:val="000000"/>
              </w:rPr>
            </w:pPr>
            <w:r w:rsidRPr="009B3702">
              <w:rPr>
                <w:color w:val="000000"/>
              </w:rPr>
              <w:t>3</w:t>
            </w:r>
            <w:r w:rsidR="001C15B9">
              <w:rPr>
                <w:color w:val="000000"/>
              </w:rPr>
              <w:t>1706</w:t>
            </w:r>
            <w:r w:rsidRPr="009B3702">
              <w:rPr>
                <w:color w:val="000000"/>
              </w:rPr>
              <w:t xml:space="preserve"> (5. Mükerrer)</w:t>
            </w:r>
          </w:p>
        </w:tc>
      </w:tr>
      <w:tr w:rsidR="00775EAA" w:rsidRPr="009B3702" w:rsidTr="00775EAA">
        <w:trPr>
          <w:trHeight w:val="247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AA" w:rsidRPr="009B3702" w:rsidRDefault="00775EAA" w:rsidP="009B3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30/06/2024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EAA" w:rsidRPr="009B3702" w:rsidRDefault="00775EAA" w:rsidP="009B3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32588</w:t>
            </w:r>
          </w:p>
        </w:tc>
      </w:tr>
    </w:tbl>
    <w:p w:rsidR="00F15809" w:rsidRPr="00EF24C4" w:rsidRDefault="00C71949" w:rsidP="004450E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F24C4">
        <w:rPr>
          <w:b/>
          <w:strike/>
          <w:vanish/>
        </w:rPr>
        <w:t xml:space="preserve">Top of Form </w:t>
      </w:r>
    </w:p>
    <w:sectPr w:rsidR="00F15809" w:rsidRPr="00EF24C4" w:rsidSect="00FA00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AA" w:rsidRDefault="00775EAA" w:rsidP="00775EAA">
      <w:r>
        <w:separator/>
      </w:r>
    </w:p>
  </w:endnote>
  <w:endnote w:type="continuationSeparator" w:id="0">
    <w:p w:rsidR="00775EAA" w:rsidRDefault="00775EAA" w:rsidP="0077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AA" w:rsidRDefault="00775EAA" w:rsidP="00775EAA">
      <w:r>
        <w:separator/>
      </w:r>
    </w:p>
  </w:footnote>
  <w:footnote w:type="continuationSeparator" w:id="0">
    <w:p w:rsidR="00775EAA" w:rsidRDefault="00775EAA" w:rsidP="0077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0449"/>
    <w:multiLevelType w:val="hybridMultilevel"/>
    <w:tmpl w:val="0FBE5788"/>
    <w:lvl w:ilvl="0" w:tplc="B8A07A36">
      <w:start w:val="1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D8"/>
    <w:rsid w:val="00004E07"/>
    <w:rsid w:val="00012764"/>
    <w:rsid w:val="00023382"/>
    <w:rsid w:val="00024649"/>
    <w:rsid w:val="00034873"/>
    <w:rsid w:val="000517B2"/>
    <w:rsid w:val="00051AA6"/>
    <w:rsid w:val="00056465"/>
    <w:rsid w:val="0006341A"/>
    <w:rsid w:val="00073655"/>
    <w:rsid w:val="00073DA1"/>
    <w:rsid w:val="00074A09"/>
    <w:rsid w:val="0008409B"/>
    <w:rsid w:val="000B0402"/>
    <w:rsid w:val="000E4D3B"/>
    <w:rsid w:val="00131FA6"/>
    <w:rsid w:val="0013559A"/>
    <w:rsid w:val="001961C6"/>
    <w:rsid w:val="001C15B9"/>
    <w:rsid w:val="001D1784"/>
    <w:rsid w:val="001E4C14"/>
    <w:rsid w:val="001F376A"/>
    <w:rsid w:val="001F3D92"/>
    <w:rsid w:val="0021011F"/>
    <w:rsid w:val="00214E63"/>
    <w:rsid w:val="00245B55"/>
    <w:rsid w:val="002B7B0F"/>
    <w:rsid w:val="002E0DD3"/>
    <w:rsid w:val="00307A90"/>
    <w:rsid w:val="00315B4C"/>
    <w:rsid w:val="003160B1"/>
    <w:rsid w:val="00323571"/>
    <w:rsid w:val="00326E87"/>
    <w:rsid w:val="0033709D"/>
    <w:rsid w:val="00356F05"/>
    <w:rsid w:val="00367790"/>
    <w:rsid w:val="00373F24"/>
    <w:rsid w:val="00374493"/>
    <w:rsid w:val="003C14CD"/>
    <w:rsid w:val="003D38C0"/>
    <w:rsid w:val="003D43FF"/>
    <w:rsid w:val="003E00DE"/>
    <w:rsid w:val="003F0E7C"/>
    <w:rsid w:val="003F5BC8"/>
    <w:rsid w:val="0042441C"/>
    <w:rsid w:val="00424583"/>
    <w:rsid w:val="004450E4"/>
    <w:rsid w:val="004823D7"/>
    <w:rsid w:val="004B78B2"/>
    <w:rsid w:val="004C7AB5"/>
    <w:rsid w:val="004D052E"/>
    <w:rsid w:val="004D0D9E"/>
    <w:rsid w:val="004E4E1A"/>
    <w:rsid w:val="004F6824"/>
    <w:rsid w:val="005059E2"/>
    <w:rsid w:val="0052274B"/>
    <w:rsid w:val="00535C3E"/>
    <w:rsid w:val="005561B1"/>
    <w:rsid w:val="005706BB"/>
    <w:rsid w:val="005D6D29"/>
    <w:rsid w:val="005E1E15"/>
    <w:rsid w:val="00623E29"/>
    <w:rsid w:val="00642E3A"/>
    <w:rsid w:val="0064356C"/>
    <w:rsid w:val="00645AB2"/>
    <w:rsid w:val="00646E21"/>
    <w:rsid w:val="00657750"/>
    <w:rsid w:val="006602C6"/>
    <w:rsid w:val="0066347F"/>
    <w:rsid w:val="00675181"/>
    <w:rsid w:val="006958B3"/>
    <w:rsid w:val="006A0B78"/>
    <w:rsid w:val="006A2CD8"/>
    <w:rsid w:val="006A52B3"/>
    <w:rsid w:val="006B13D1"/>
    <w:rsid w:val="006E3DC9"/>
    <w:rsid w:val="00720974"/>
    <w:rsid w:val="007428AB"/>
    <w:rsid w:val="0077304B"/>
    <w:rsid w:val="00775EAA"/>
    <w:rsid w:val="007771D3"/>
    <w:rsid w:val="00783334"/>
    <w:rsid w:val="00797B0A"/>
    <w:rsid w:val="007A028B"/>
    <w:rsid w:val="007A7E62"/>
    <w:rsid w:val="007C51F5"/>
    <w:rsid w:val="007F1DB4"/>
    <w:rsid w:val="00811127"/>
    <w:rsid w:val="00814136"/>
    <w:rsid w:val="00844ED2"/>
    <w:rsid w:val="00861B64"/>
    <w:rsid w:val="008628CB"/>
    <w:rsid w:val="0086595D"/>
    <w:rsid w:val="00887202"/>
    <w:rsid w:val="008A1FB6"/>
    <w:rsid w:val="008C4ACD"/>
    <w:rsid w:val="008D419E"/>
    <w:rsid w:val="008D72A6"/>
    <w:rsid w:val="008F3005"/>
    <w:rsid w:val="008F3D94"/>
    <w:rsid w:val="009620A8"/>
    <w:rsid w:val="0097003C"/>
    <w:rsid w:val="009B3702"/>
    <w:rsid w:val="009B625A"/>
    <w:rsid w:val="009C3022"/>
    <w:rsid w:val="009D5690"/>
    <w:rsid w:val="009E0C3C"/>
    <w:rsid w:val="00A01580"/>
    <w:rsid w:val="00A120F8"/>
    <w:rsid w:val="00A36CB7"/>
    <w:rsid w:val="00A6327D"/>
    <w:rsid w:val="00A7293C"/>
    <w:rsid w:val="00A76E85"/>
    <w:rsid w:val="00A86539"/>
    <w:rsid w:val="00A87898"/>
    <w:rsid w:val="00AD529E"/>
    <w:rsid w:val="00AE26EA"/>
    <w:rsid w:val="00B27F0D"/>
    <w:rsid w:val="00B35FDA"/>
    <w:rsid w:val="00B6223B"/>
    <w:rsid w:val="00BE117E"/>
    <w:rsid w:val="00BE18C4"/>
    <w:rsid w:val="00BF7469"/>
    <w:rsid w:val="00C04D2F"/>
    <w:rsid w:val="00C04FD0"/>
    <w:rsid w:val="00C22EAC"/>
    <w:rsid w:val="00C25C49"/>
    <w:rsid w:val="00C26551"/>
    <w:rsid w:val="00C37643"/>
    <w:rsid w:val="00C420C8"/>
    <w:rsid w:val="00C57CB0"/>
    <w:rsid w:val="00C71949"/>
    <w:rsid w:val="00C870C8"/>
    <w:rsid w:val="00D00FF5"/>
    <w:rsid w:val="00D015F6"/>
    <w:rsid w:val="00D01BA5"/>
    <w:rsid w:val="00D527A9"/>
    <w:rsid w:val="00D56597"/>
    <w:rsid w:val="00D6140A"/>
    <w:rsid w:val="00D734CF"/>
    <w:rsid w:val="00D94723"/>
    <w:rsid w:val="00DC1745"/>
    <w:rsid w:val="00DC472C"/>
    <w:rsid w:val="00DD39BE"/>
    <w:rsid w:val="00DF2776"/>
    <w:rsid w:val="00E13EF7"/>
    <w:rsid w:val="00E272C1"/>
    <w:rsid w:val="00E45A10"/>
    <w:rsid w:val="00E82EF7"/>
    <w:rsid w:val="00EC05CE"/>
    <w:rsid w:val="00EC1FBF"/>
    <w:rsid w:val="00EF243D"/>
    <w:rsid w:val="00EF24C4"/>
    <w:rsid w:val="00F07D14"/>
    <w:rsid w:val="00F139AE"/>
    <w:rsid w:val="00F15809"/>
    <w:rsid w:val="00F412D6"/>
    <w:rsid w:val="00F630A7"/>
    <w:rsid w:val="00F65FD4"/>
    <w:rsid w:val="00F671DB"/>
    <w:rsid w:val="00F7248C"/>
    <w:rsid w:val="00F72C56"/>
    <w:rsid w:val="00F86849"/>
    <w:rsid w:val="00F90CC6"/>
    <w:rsid w:val="00F91996"/>
    <w:rsid w:val="00FA0094"/>
    <w:rsid w:val="00FE2D7D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3BA47E-B477-4ADD-AA15-5B9E5FB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6327D"/>
  </w:style>
  <w:style w:type="paragraph" w:styleId="NormalWeb">
    <w:name w:val="Normal (Web)"/>
    <w:basedOn w:val="Normal"/>
    <w:rsid w:val="00A6327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oKlavuzu">
    <w:name w:val="Table Grid"/>
    <w:basedOn w:val="NormalTablo"/>
    <w:uiPriority w:val="39"/>
    <w:rsid w:val="0057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719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C719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21011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21011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21011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D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D7D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F0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antire0">
    <w:name w:val="spantire0"/>
    <w:basedOn w:val="VarsaylanParagrafYazTipi"/>
    <w:rsid w:val="00051AA6"/>
  </w:style>
  <w:style w:type="paragraph" w:customStyle="1" w:styleId="3-normalyaz">
    <w:name w:val="3-normalyaz"/>
    <w:basedOn w:val="Normal"/>
    <w:rsid w:val="00E272C1"/>
    <w:pPr>
      <w:spacing w:before="100" w:beforeAutospacing="1" w:after="100" w:afterAutospacing="1"/>
    </w:pPr>
  </w:style>
  <w:style w:type="character" w:styleId="Gl">
    <w:name w:val="Strong"/>
    <w:qFormat/>
    <w:rsid w:val="004D052E"/>
    <w:rPr>
      <w:b/>
      <w:bCs/>
    </w:rPr>
  </w:style>
  <w:style w:type="paragraph" w:styleId="Dzeltme">
    <w:name w:val="Revision"/>
    <w:hidden/>
    <w:uiPriority w:val="99"/>
    <w:semiHidden/>
    <w:rsid w:val="001C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4/06/20240630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migazete.gov.tr/eskiler/2024/06/20240630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migazete.gov.tr/eskiler/2021/12/20211231M5-4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YALÇINKAYA</dc:creator>
  <cp:keywords/>
  <dc:description/>
  <cp:lastModifiedBy>Aslı Özer</cp:lastModifiedBy>
  <cp:revision>42</cp:revision>
  <cp:lastPrinted>2016-09-29T12:15:00Z</cp:lastPrinted>
  <dcterms:created xsi:type="dcterms:W3CDTF">2021-03-04T13:05:00Z</dcterms:created>
  <dcterms:modified xsi:type="dcterms:W3CDTF">2024-07-01T14:12:00Z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user=53728568420</vt:lpwstr>
  </property>
  <property fmtid="{D5CDD505-2E9C-101B-9397-08002B2CF9AE}" pid="4" name="geodilabeltime">
    <vt:lpwstr>datetime=2024-07-01T11:46:41.242Z</vt:lpwstr>
  </property>
</Properties>
</file>